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ind w:left="0" w:right="0" w:firstLine="0"/>
        <w:jc w:val="left"/>
        <w:rPr>
          <w:rFonts w:ascii="Times New Roman"/>
          <w:sz w:val="20"/>
        </w:rPr>
      </w:pPr>
    </w:p>
    <w:p>
      <w:pPr>
        <w:pStyle w:val="BodyText"/>
        <w:spacing w:before="3"/>
        <w:ind w:left="0" w:right="0" w:firstLine="0"/>
        <w:jc w:val="left"/>
        <w:rPr>
          <w:rFonts w:ascii="Times New Roman"/>
          <w:sz w:val="24"/>
        </w:rPr>
      </w:pPr>
    </w:p>
    <w:p>
      <w:pPr>
        <w:spacing w:line="199" w:lineRule="auto" w:before="68"/>
        <w:ind w:left="2673" w:right="869" w:hanging="1800"/>
        <w:jc w:val="left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sz w:val="40"/>
        </w:rPr>
        <w:t>加快推进高速公路电子不停车快捷收费应用服务实施方案</w:t>
      </w:r>
    </w:p>
    <w:p>
      <w:pPr>
        <w:pStyle w:val="BodyText"/>
        <w:spacing w:before="4"/>
        <w:ind w:left="0" w:right="0" w:firstLine="0"/>
        <w:jc w:val="left"/>
        <w:rPr>
          <w:rFonts w:ascii="方正小标宋_GBK"/>
          <w:sz w:val="35"/>
        </w:rPr>
      </w:pPr>
    </w:p>
    <w:p>
      <w:pPr>
        <w:pStyle w:val="BodyText"/>
        <w:spacing w:line="292" w:lineRule="auto"/>
        <w:ind w:right="116"/>
      </w:pPr>
      <w:r>
        <w:rPr>
          <w:rFonts w:ascii="Times New Roman" w:eastAsia="Times New Roman"/>
        </w:rPr>
        <w:t>2015 </w:t>
      </w:r>
      <w:r>
        <w:rPr>
          <w:position w:val="1"/>
        </w:rPr>
        <w:t>年 </w:t>
      </w:r>
      <w:r>
        <w:rPr>
          <w:rFonts w:ascii="Times New Roman" w:eastAsia="Times New Roman"/>
        </w:rPr>
        <w:t>9 </w:t>
      </w:r>
      <w:r>
        <w:rPr>
          <w:position w:val="1"/>
        </w:rPr>
        <w:t>月，全国高速公路电子不停车快捷收费（</w:t>
      </w:r>
      <w:r>
        <w:rPr>
          <w:rFonts w:ascii="Times New Roman" w:eastAsia="Times New Roman"/>
        </w:rPr>
        <w:t>ETC</w:t>
      </w:r>
      <w:r>
        <w:rPr>
          <w:position w:val="1"/>
        </w:rPr>
        <w:t>） </w:t>
      </w:r>
      <w:r>
        <w:rPr/>
        <w:t>系统实现联网运营，有力推进了交通运输转型升级、提质增</w:t>
      </w:r>
      <w:r>
        <w:rPr>
          <w:position w:val="1"/>
        </w:rPr>
        <w:t>效，取得了明显的社会和经济效益。但部分地区 </w:t>
      </w:r>
      <w:r>
        <w:rPr>
          <w:rFonts w:ascii="Times New Roman" w:eastAsia="Times New Roman"/>
        </w:rPr>
        <w:t>ETC </w:t>
      </w:r>
      <w:r>
        <w:rPr>
          <w:position w:val="1"/>
        </w:rPr>
        <w:t>发展系统</w:t>
      </w:r>
      <w:r>
        <w:rPr/>
        <w:t>功能和应用领域相对单一，车载终端安装不便利，货车无法实现不停车收费，市场化进程缓慢，服务质量和服务水平有待提</w:t>
      </w:r>
      <w:r>
        <w:rPr>
          <w:position w:val="1"/>
        </w:rPr>
        <w:t>高，制约了 </w:t>
      </w:r>
      <w:r>
        <w:rPr>
          <w:rFonts w:ascii="Times New Roman" w:eastAsia="Times New Roman"/>
        </w:rPr>
        <w:t>ETC </w:t>
      </w:r>
      <w:r>
        <w:rPr>
          <w:position w:val="1"/>
        </w:rPr>
        <w:t>的加快推广。为进一步深化交通运输领域供给</w:t>
      </w:r>
      <w:r>
        <w:rPr/>
        <w:t>侧结构性改革，提高高速公路通行效率，实现不停车快捷收</w:t>
      </w:r>
      <w:r>
        <w:rPr>
          <w:position w:val="1"/>
        </w:rPr>
        <w:t>费，减少拥堵、便利群众，经国务院同意，现就加快推进 </w:t>
      </w:r>
      <w:r>
        <w:rPr>
          <w:rFonts w:ascii="Times New Roman" w:eastAsia="Times New Roman"/>
        </w:rPr>
        <w:t>ETC </w:t>
      </w:r>
      <w:r>
        <w:rPr/>
        <w:t>应用服务提出如下实施方案。</w:t>
      </w:r>
    </w:p>
    <w:p>
      <w:pPr>
        <w:pStyle w:val="BodyText"/>
        <w:spacing w:line="460" w:lineRule="exact"/>
        <w:ind w:left="720" w:right="0" w:firstLine="0"/>
        <w:jc w:val="lef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一、总体要求</w:t>
      </w:r>
    </w:p>
    <w:p>
      <w:pPr>
        <w:pStyle w:val="BodyText"/>
        <w:spacing w:before="128"/>
        <w:ind w:left="720" w:right="0" w:firstLine="0"/>
        <w:jc w:val="left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（一）指导思想。</w:t>
      </w:r>
    </w:p>
    <w:p>
      <w:pPr>
        <w:pStyle w:val="BodyText"/>
        <w:spacing w:line="292" w:lineRule="auto" w:before="117"/>
        <w:ind w:right="116"/>
      </w:pPr>
      <w:r>
        <w:rPr>
          <w:spacing w:val="6"/>
        </w:rPr>
        <w:t>以习近平新时代中国特色社会主义思想为指导，全面贯彻党的十九大和十九届二中、三中全会精神，牢固树立新发展理念，按照高质量发展要求，坚持以供给侧结构性改革为主线， </w:t>
      </w:r>
      <w:r>
        <w:rPr>
          <w:spacing w:val="-2"/>
          <w:position w:val="1"/>
        </w:rPr>
        <w:t>以满足人民群众安全便捷经济出行需求为导向，创新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spacing w:val="2"/>
          <w:position w:val="1"/>
        </w:rPr>
        <w:t>发展</w:t>
      </w:r>
      <w:r>
        <w:rPr>
          <w:spacing w:val="-1"/>
          <w:position w:val="1"/>
        </w:rPr>
        <w:t>模式，强化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1"/>
        </w:rPr>
        <w:t> </w:t>
      </w:r>
      <w:r>
        <w:rPr>
          <w:spacing w:val="3"/>
          <w:position w:val="1"/>
        </w:rPr>
        <w:t>应用与服务，提升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spacing w:val="9"/>
          <w:position w:val="1"/>
        </w:rPr>
        <w:t>使用率，加快推进多</w:t>
      </w:r>
      <w:r>
        <w:rPr>
          <w:spacing w:val="6"/>
        </w:rPr>
        <w:t>种电子收费方式融合协同发展，提高高速公路通行效率，更好地服务经济社会发展。</w:t>
      </w:r>
    </w:p>
    <w:p>
      <w:pPr>
        <w:spacing w:after="0" w:line="292" w:lineRule="auto"/>
        <w:sectPr>
          <w:footerReference w:type="default" r:id="rId5"/>
          <w:type w:val="continuous"/>
          <w:pgSz w:w="11910" w:h="16840"/>
          <w:pgMar w:footer="1608" w:top="1580" w:bottom="1800" w:left="1680" w:right="1680"/>
          <w:pgNumType w:start="1"/>
        </w:sectPr>
      </w:pPr>
    </w:p>
    <w:p>
      <w:pPr>
        <w:pStyle w:val="BodyText"/>
        <w:spacing w:before="5"/>
        <w:ind w:left="720" w:right="0" w:firstLine="0"/>
        <w:jc w:val="left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（二）基本原则。</w:t>
      </w:r>
    </w:p>
    <w:p>
      <w:pPr>
        <w:pStyle w:val="BodyText"/>
        <w:spacing w:line="292" w:lineRule="auto" w:before="119"/>
      </w:pPr>
      <w:r>
        <w:rPr>
          <w:rFonts w:ascii="Times New Roman" w:hAnsi="Times New Roman" w:eastAsia="Times New Roman"/>
          <w:spacing w:val="12"/>
        </w:rPr>
        <w:t>——</w:t>
      </w:r>
      <w:r>
        <w:rPr>
          <w:rFonts w:ascii="方正楷体_GBK" w:hAnsi="方正楷体_GBK" w:eastAsia="方正楷体_GBK" w:hint="eastAsia"/>
          <w:spacing w:val="21"/>
          <w:position w:val="1"/>
        </w:rPr>
        <w:t>政府引导、市场主导。</w:t>
      </w:r>
      <w:r>
        <w:rPr>
          <w:spacing w:val="18"/>
          <w:position w:val="1"/>
        </w:rPr>
        <w:t>加强政府统筹协调和政策扶</w:t>
      </w:r>
      <w:r>
        <w:rPr>
          <w:spacing w:val="18"/>
        </w:rPr>
        <w:t>持，突出高速公路公共属性，落实高速公路使用者的社会责</w:t>
      </w:r>
      <w:r>
        <w:rPr>
          <w:spacing w:val="6"/>
        </w:rPr>
        <w:t>任，优化发展环境；充分发挥市场在资源配置中的决定性作用和企业的主体作用，激发市场需求和企业发展的内生动力。</w:t>
      </w:r>
    </w:p>
    <w:p>
      <w:pPr>
        <w:pStyle w:val="BodyText"/>
        <w:spacing w:line="292" w:lineRule="auto"/>
      </w:pPr>
      <w:r>
        <w:rPr>
          <w:rFonts w:ascii="Times New Roman" w:hAnsi="Times New Roman" w:eastAsia="Times New Roman"/>
        </w:rPr>
        <w:t>——</w:t>
      </w:r>
      <w:r>
        <w:rPr>
          <w:rFonts w:ascii="方正楷体_GBK" w:hAnsi="方正楷体_GBK" w:eastAsia="方正楷体_GBK" w:hint="eastAsia"/>
          <w:position w:val="1"/>
        </w:rPr>
        <w:t>统筹规划、协同推进。</w:t>
      </w:r>
      <w:r>
        <w:rPr>
          <w:spacing w:val="-9"/>
          <w:position w:val="1"/>
        </w:rPr>
        <w:t>加强提升 </w:t>
      </w:r>
      <w:r>
        <w:rPr>
          <w:rFonts w:ascii="Times New Roman" w:hAnsi="Times New Roman" w:eastAsia="Times New Roman"/>
        </w:rPr>
        <w:t>ETC</w:t>
      </w:r>
      <w:r>
        <w:rPr>
          <w:rFonts w:ascii="Times New Roman" w:hAnsi="Times New Roman" w:eastAsia="Times New Roman"/>
          <w:spacing w:val="11"/>
        </w:rPr>
        <w:t> </w:t>
      </w:r>
      <w:r>
        <w:rPr>
          <w:position w:val="1"/>
        </w:rPr>
        <w:t>应用与服务的统</w:t>
      </w:r>
      <w:r>
        <w:rPr>
          <w:spacing w:val="6"/>
        </w:rPr>
        <w:t>筹规划，聚焦优质服务，明确发展路径，强化电子收费应用的需求拉动作用，实现技术、产业、网络、应用的协同推进。</w:t>
      </w:r>
    </w:p>
    <w:p>
      <w:pPr>
        <w:pStyle w:val="BodyText"/>
        <w:spacing w:line="292" w:lineRule="auto"/>
      </w:pPr>
      <w:r>
        <w:rPr>
          <w:rFonts w:ascii="Times New Roman" w:hAnsi="Times New Roman" w:eastAsia="Times New Roman"/>
        </w:rPr>
        <w:t>——</w:t>
      </w:r>
      <w:r>
        <w:rPr>
          <w:rFonts w:ascii="方正楷体_GBK" w:hAnsi="方正楷体_GBK" w:eastAsia="方正楷体_GBK" w:hint="eastAsia"/>
          <w:position w:val="1"/>
        </w:rPr>
        <w:t>创新发展、示范引领。</w:t>
      </w:r>
      <w:r>
        <w:rPr>
          <w:position w:val="1"/>
        </w:rPr>
        <w:t>坚持服务创新、技术创新和管</w:t>
      </w:r>
      <w:r>
        <w:rPr/>
        <w:t>理创新，大力促进高速公路电子收费与经济社会各领域的融合创新，鼓励先行先试，充分发挥示范引领作用。</w:t>
      </w:r>
    </w:p>
    <w:p>
      <w:pPr>
        <w:pStyle w:val="BodyText"/>
        <w:spacing w:line="292" w:lineRule="auto"/>
      </w:pPr>
      <w:r>
        <w:rPr>
          <w:rFonts w:ascii="Times New Roman" w:hAnsi="Times New Roman" w:eastAsia="Times New Roman"/>
        </w:rPr>
        <w:t>——</w:t>
      </w:r>
      <w:r>
        <w:rPr>
          <w:rFonts w:ascii="方正楷体_GBK" w:hAnsi="方正楷体_GBK" w:eastAsia="方正楷体_GBK" w:hint="eastAsia"/>
          <w:position w:val="1"/>
        </w:rPr>
        <w:t>注重实效、惠及民生。</w:t>
      </w:r>
      <w:r>
        <w:rPr>
          <w:position w:val="1"/>
        </w:rPr>
        <w:t>坚持以人民为中心的发展思</w:t>
      </w:r>
      <w:r>
        <w:rPr/>
        <w:t>想，紧紧围绕人民群众的期待和需求，不断提升收费服务水平，便捷高速公路通行，丰富服务内容，让人民群众共享高速公路发展成果。</w:t>
      </w:r>
    </w:p>
    <w:p>
      <w:pPr>
        <w:pStyle w:val="BodyText"/>
        <w:ind w:left="720" w:right="0" w:firstLine="0"/>
        <w:jc w:val="left"/>
        <w:rPr>
          <w:rFonts w:ascii="方正楷体_GBK" w:eastAsia="方正楷体_GBK" w:hint="eastAsia"/>
        </w:rPr>
      </w:pPr>
      <w:r>
        <w:rPr>
          <w:rFonts w:ascii="方正楷体_GBK" w:eastAsia="方正楷体_GBK" w:hint="eastAsia"/>
        </w:rPr>
        <w:t>（三）发展目标。</w:t>
      </w:r>
    </w:p>
    <w:p>
      <w:pPr>
        <w:pStyle w:val="BodyText"/>
        <w:spacing w:line="292" w:lineRule="auto" w:before="114"/>
        <w:ind w:right="116"/>
      </w:pPr>
      <w:r>
        <w:rPr>
          <w:spacing w:val="-26"/>
          <w:position w:val="1"/>
        </w:rPr>
        <w:t>到 </w:t>
      </w:r>
      <w:r>
        <w:rPr>
          <w:rFonts w:ascii="Times New Roman" w:eastAsia="Times New Roman"/>
        </w:rPr>
        <w:t>2019 </w:t>
      </w:r>
      <w:r>
        <w:rPr>
          <w:spacing w:val="-25"/>
          <w:position w:val="1"/>
        </w:rPr>
        <w:t>年 </w:t>
      </w:r>
      <w:r>
        <w:rPr>
          <w:rFonts w:ascii="Times New Roman" w:eastAsia="Times New Roman"/>
        </w:rPr>
        <w:t>12 </w:t>
      </w:r>
      <w:r>
        <w:rPr>
          <w:spacing w:val="-5"/>
          <w:position w:val="1"/>
        </w:rPr>
        <w:t>月底，全国 </w:t>
      </w:r>
      <w:r>
        <w:rPr>
          <w:rFonts w:ascii="Times New Roman" w:eastAsia="Times New Roman"/>
        </w:rPr>
        <w:t>ETC </w:t>
      </w:r>
      <w:r>
        <w:rPr>
          <w:spacing w:val="-3"/>
          <w:position w:val="1"/>
        </w:rPr>
        <w:t>用户数量突破 </w:t>
      </w:r>
      <w:r>
        <w:rPr>
          <w:rFonts w:ascii="Times New Roman" w:eastAsia="Times New Roman"/>
        </w:rPr>
        <w:t>1.8 </w:t>
      </w:r>
      <w:r>
        <w:rPr>
          <w:spacing w:val="5"/>
          <w:position w:val="1"/>
        </w:rPr>
        <w:t>亿，高速</w:t>
      </w:r>
      <w:r>
        <w:rPr>
          <w:spacing w:val="-5"/>
          <w:position w:val="1"/>
        </w:rPr>
        <w:t>公路收费站 </w:t>
      </w:r>
      <w:r>
        <w:rPr>
          <w:rFonts w:ascii="Times New Roman" w:eastAsia="Times New Roman"/>
        </w:rPr>
        <w:t>ETC </w:t>
      </w:r>
      <w:r>
        <w:rPr>
          <w:spacing w:val="10"/>
          <w:position w:val="1"/>
        </w:rPr>
        <w:t>全覆盖， </w:t>
      </w:r>
      <w:r>
        <w:rPr>
          <w:rFonts w:ascii="Times New Roman" w:eastAsia="Times New Roman"/>
        </w:rPr>
        <w:t>ETC </w:t>
      </w:r>
      <w:r>
        <w:rPr>
          <w:spacing w:val="6"/>
          <w:position w:val="1"/>
        </w:rPr>
        <w:t>车道成为主要收费车道，货车</w:t>
      </w:r>
      <w:r>
        <w:rPr>
          <w:spacing w:val="3"/>
          <w:position w:val="1"/>
        </w:rPr>
        <w:t>实现不停车收费，高速公路不停车快捷收费率达到 </w:t>
      </w:r>
      <w:r>
        <w:rPr>
          <w:rFonts w:ascii="Times New Roman" w:eastAsia="Times New Roman"/>
        </w:rPr>
        <w:t>90%</w:t>
      </w:r>
      <w:r>
        <w:rPr>
          <w:spacing w:val="4"/>
          <w:position w:val="1"/>
        </w:rPr>
        <w:t>以上， </w:t>
      </w:r>
      <w:r>
        <w:rPr>
          <w:spacing w:val="6"/>
        </w:rPr>
        <w:t>所有人工收费车道支持移动支付等电子收费方式，显著提升高</w:t>
      </w:r>
      <w:r>
        <w:rPr>
          <w:spacing w:val="4"/>
          <w:position w:val="1"/>
        </w:rPr>
        <w:t>速公路不停车收费服务水平。到 </w:t>
      </w:r>
      <w:r>
        <w:rPr>
          <w:rFonts w:ascii="Times New Roman" w:eastAsia="Times New Roman"/>
        </w:rPr>
        <w:t>2025 </w:t>
      </w:r>
      <w:r>
        <w:rPr>
          <w:spacing w:val="-5"/>
          <w:position w:val="1"/>
        </w:rPr>
        <w:t>年，全国 </w:t>
      </w:r>
      <w:r>
        <w:rPr>
          <w:rFonts w:ascii="Times New Roman" w:eastAsia="Times New Roman"/>
        </w:rPr>
        <w:t>ETC </w:t>
      </w:r>
      <w:r>
        <w:rPr>
          <w:spacing w:val="6"/>
          <w:position w:val="1"/>
        </w:rPr>
        <w:t>用户数量</w:t>
      </w:r>
      <w:r>
        <w:rPr>
          <w:spacing w:val="6"/>
        </w:rPr>
        <w:t>进一步提升，建成技术先进、制度完善、服务优质、运行稳定的高速公路电子不停车快捷收费体系。</w:t>
      </w:r>
    </w:p>
    <w:p>
      <w:pPr>
        <w:spacing w:after="0" w:line="292" w:lineRule="auto"/>
        <w:sectPr>
          <w:pgSz w:w="11910" w:h="16840"/>
          <w:pgMar w:header="0" w:footer="1608" w:top="1480" w:bottom="1800" w:left="1680" w:right="1680"/>
        </w:sectPr>
      </w:pPr>
    </w:p>
    <w:p>
      <w:pPr>
        <w:pStyle w:val="BodyText"/>
        <w:spacing w:before="11"/>
        <w:ind w:left="720" w:right="0" w:firstLine="0"/>
        <w:jc w:val="lef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二、夯实工作基础</w:t>
      </w:r>
    </w:p>
    <w:p>
      <w:pPr>
        <w:pStyle w:val="BodyText"/>
        <w:spacing w:line="292" w:lineRule="auto" w:before="119"/>
        <w:ind w:right="116"/>
      </w:pPr>
      <w:r>
        <w:rPr>
          <w:rFonts w:ascii="方正楷体_GBK" w:eastAsia="方正楷体_GBK" w:hint="eastAsia"/>
          <w:spacing w:val="4"/>
          <w:position w:val="1"/>
        </w:rPr>
        <w:t>（</w:t>
      </w:r>
      <w:r>
        <w:rPr>
          <w:rFonts w:ascii="方正楷体_GBK" w:eastAsia="方正楷体_GBK" w:hint="eastAsia"/>
          <w:position w:val="1"/>
        </w:rPr>
        <w:t>一</w:t>
      </w:r>
      <w:r>
        <w:rPr>
          <w:rFonts w:ascii="方正楷体_GBK" w:eastAsia="方正楷体_GBK" w:hint="eastAsia"/>
          <w:spacing w:val="4"/>
          <w:position w:val="1"/>
        </w:rPr>
        <w:t>）</w:t>
      </w:r>
      <w:r>
        <w:rPr>
          <w:rFonts w:ascii="方正楷体_GBK" w:eastAsia="方正楷体_GBK" w:hint="eastAsia"/>
          <w:position w:val="1"/>
        </w:rPr>
        <w:t>加强基础服务设施建设维护。</w:t>
      </w:r>
      <w:r>
        <w:rPr>
          <w:spacing w:val="-16"/>
          <w:position w:val="1"/>
        </w:rPr>
        <w:t>加大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0"/>
        </w:rPr>
        <w:t> </w:t>
      </w:r>
      <w:r>
        <w:rPr>
          <w:spacing w:val="1"/>
          <w:position w:val="1"/>
        </w:rPr>
        <w:t>基础服务设</w:t>
      </w:r>
      <w:r>
        <w:rPr>
          <w:spacing w:val="-4"/>
          <w:position w:val="1"/>
        </w:rPr>
        <w:t>施建设投入力度，提升收费站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position w:val="1"/>
        </w:rPr>
        <w:t>专用车道比例。高速公路新</w:t>
      </w:r>
      <w:r>
        <w:rPr>
          <w:spacing w:val="6"/>
        </w:rPr>
        <w:t>建、改扩建及大修时，应根据通行需要，提前规划并适度超前</w:t>
      </w:r>
      <w:r>
        <w:rPr>
          <w:spacing w:val="-17"/>
          <w:position w:val="1"/>
        </w:rPr>
        <w:t>增设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5"/>
        </w:rPr>
        <w:t> </w:t>
      </w:r>
      <w:r>
        <w:rPr>
          <w:spacing w:val="4"/>
          <w:position w:val="1"/>
        </w:rPr>
        <w:t>专用车道。</w:t>
      </w:r>
      <w:r>
        <w:rPr>
          <w:rFonts w:ascii="Times New Roman" w:eastAsia="Times New Roman"/>
        </w:rPr>
        <w:t>2019</w:t>
      </w:r>
      <w:r>
        <w:rPr>
          <w:rFonts w:ascii="Times New Roman" w:eastAsia="Times New Roman"/>
          <w:spacing w:val="5"/>
        </w:rPr>
        <w:t> </w:t>
      </w:r>
      <w:r>
        <w:rPr>
          <w:spacing w:val="-26"/>
          <w:position w:val="1"/>
        </w:rPr>
        <w:t>年 </w:t>
      </w:r>
      <w:r>
        <w:rPr>
          <w:rFonts w:ascii="Times New Roman" w:eastAsia="Times New Roman"/>
        </w:rPr>
        <w:t>10</w:t>
      </w:r>
      <w:r>
        <w:rPr>
          <w:rFonts w:ascii="Times New Roman" w:eastAsia="Times New Roman"/>
          <w:spacing w:val="3"/>
        </w:rPr>
        <w:t> </w:t>
      </w:r>
      <w:r>
        <w:rPr>
          <w:spacing w:val="-2"/>
          <w:position w:val="1"/>
        </w:rPr>
        <w:t>月底前，所有车道均具备 </w:t>
      </w:r>
      <w:r>
        <w:rPr>
          <w:rFonts w:ascii="Times New Roman" w:eastAsia="Times New Roman"/>
        </w:rPr>
        <w:t>ETC </w:t>
      </w:r>
      <w:r>
        <w:rPr>
          <w:spacing w:val="18"/>
        </w:rPr>
        <w:t>服务功能，其中大中城市、新建城镇、旅游景区周边收费站</w:t>
      </w:r>
      <w:r>
        <w:rPr>
          <w:rFonts w:ascii="Times New Roman" w:eastAsia="Times New Roman"/>
          <w:spacing w:val="18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spacing w:val="6"/>
          <w:position w:val="1"/>
        </w:rPr>
        <w:t>专用车道占比不低于 </w:t>
      </w:r>
      <w:r>
        <w:rPr>
          <w:rFonts w:ascii="Times New Roman" w:eastAsia="Times New Roman"/>
          <w:spacing w:val="4"/>
        </w:rPr>
        <w:t>70%</w:t>
      </w:r>
      <w:r>
        <w:rPr>
          <w:spacing w:val="-4"/>
          <w:position w:val="1"/>
        </w:rPr>
        <w:t>。加强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7"/>
        </w:rPr>
        <w:t> </w:t>
      </w:r>
      <w:r>
        <w:rPr>
          <w:spacing w:val="12"/>
          <w:position w:val="1"/>
        </w:rPr>
        <w:t>车道检测和维护力</w:t>
      </w:r>
      <w:r>
        <w:rPr>
          <w:spacing w:val="12"/>
        </w:rPr>
        <w:t>度。（交通运输部，各省级人民政府）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  <w:spacing w:val="9"/>
        </w:rPr>
        <w:t>（</w:t>
      </w:r>
      <w:r>
        <w:rPr>
          <w:rFonts w:ascii="方正楷体_GBK" w:eastAsia="方正楷体_GBK" w:hint="eastAsia"/>
          <w:spacing w:val="7"/>
        </w:rPr>
        <w:t>二</w:t>
      </w:r>
      <w:r>
        <w:rPr>
          <w:rFonts w:ascii="方正楷体_GBK" w:eastAsia="方正楷体_GBK" w:hint="eastAsia"/>
          <w:spacing w:val="9"/>
        </w:rPr>
        <w:t>）</w:t>
      </w:r>
      <w:r>
        <w:rPr>
          <w:rFonts w:ascii="方正楷体_GBK" w:eastAsia="方正楷体_GBK" w:hint="eastAsia"/>
          <w:spacing w:val="7"/>
        </w:rPr>
        <w:t>推进货车不停车收费。</w:t>
      </w:r>
      <w:r>
        <w:rPr>
          <w:spacing w:val="6"/>
        </w:rPr>
        <w:t>调整货车通行费计费方式， </w:t>
      </w:r>
      <w:r>
        <w:rPr>
          <w:spacing w:val="-24"/>
          <w:position w:val="1"/>
        </w:rPr>
        <w:t>从 </w:t>
      </w:r>
      <w:r>
        <w:rPr>
          <w:rFonts w:ascii="Times New Roman" w:eastAsia="Times New Roman"/>
        </w:rPr>
        <w:t>2020</w:t>
      </w:r>
      <w:r>
        <w:rPr>
          <w:rFonts w:ascii="Times New Roman" w:eastAsia="Times New Roman"/>
          <w:spacing w:val="6"/>
        </w:rPr>
        <w:t> </w:t>
      </w:r>
      <w:r>
        <w:rPr>
          <w:spacing w:val="-26"/>
          <w:position w:val="1"/>
        </w:rPr>
        <w:t>年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9"/>
        </w:rPr>
        <w:t> </w:t>
      </w:r>
      <w:r>
        <w:rPr>
          <w:spacing w:val="-26"/>
          <w:position w:val="1"/>
        </w:rPr>
        <w:t>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9"/>
        </w:rPr>
        <w:t> </w:t>
      </w:r>
      <w:r>
        <w:rPr>
          <w:position w:val="1"/>
        </w:rPr>
        <w:t>日起，统一按车（轴）型收费，并确保不增加</w:t>
      </w:r>
      <w:r>
        <w:rPr>
          <w:spacing w:val="6"/>
        </w:rPr>
        <w:t>货车通行费总体负担。封闭式高速公路收费站入口同步实施不</w:t>
      </w:r>
      <w:r>
        <w:rPr>
          <w:spacing w:val="7"/>
        </w:rPr>
        <w:t>停车称重检测，提高货车通行效率。（</w:t>
      </w:r>
      <w:r>
        <w:rPr>
          <w:spacing w:val="6"/>
        </w:rPr>
        <w:t>各省级人民政府，交通运输部、发展改革委、市场监管总局）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</w:rPr>
        <w:t>（三）强化 ETC 车道运行保障。</w:t>
      </w:r>
      <w:r>
        <w:rPr/>
        <w:t>按照标准规范，设置统一</w:t>
      </w:r>
      <w:r>
        <w:rPr>
          <w:position w:val="1"/>
        </w:rPr>
        <w:t>醒目的 </w:t>
      </w:r>
      <w:r>
        <w:rPr>
          <w:rFonts w:ascii="Times New Roman" w:eastAsia="Times New Roman"/>
        </w:rPr>
        <w:t>ETC </w:t>
      </w:r>
      <w:r>
        <w:rPr>
          <w:position w:val="1"/>
        </w:rPr>
        <w:t>车道标识。优化 </w:t>
      </w:r>
      <w:r>
        <w:rPr>
          <w:rFonts w:ascii="Times New Roman" w:eastAsia="Times New Roman"/>
        </w:rPr>
        <w:t>ETC </w:t>
      </w:r>
      <w:r>
        <w:rPr>
          <w:position w:val="1"/>
        </w:rPr>
        <w:t>车道布局。严格执行《公路</w:t>
      </w:r>
      <w:r>
        <w:rPr/>
        <w:t>电子不停车收费联网运营和服务规范》，强化车道运行监测能</w:t>
      </w:r>
      <w:r>
        <w:rPr>
          <w:position w:val="1"/>
        </w:rPr>
        <w:t>力，保障 </w:t>
      </w:r>
      <w:r>
        <w:rPr>
          <w:rFonts w:ascii="Times New Roman" w:eastAsia="Times New Roman"/>
        </w:rPr>
        <w:t>ETC </w:t>
      </w:r>
      <w:r>
        <w:rPr>
          <w:position w:val="1"/>
        </w:rPr>
        <w:t>车道 </w:t>
      </w:r>
      <w:r>
        <w:rPr>
          <w:rFonts w:ascii="Times New Roman" w:eastAsia="Times New Roman"/>
        </w:rPr>
        <w:t>24 </w:t>
      </w:r>
      <w:r>
        <w:rPr>
          <w:position w:val="1"/>
        </w:rPr>
        <w:t>小时不间断服务。除下坡等特殊路段的收费站外，</w:t>
      </w:r>
      <w:r>
        <w:rPr>
          <w:rFonts w:asci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eastAsia="Times New Roman"/>
        </w:rPr>
        <w:t>7 </w:t>
      </w:r>
      <w:r>
        <w:rPr>
          <w:position w:val="1"/>
        </w:rPr>
        <w:t>月底前，拆除 </w:t>
      </w:r>
      <w:r>
        <w:rPr>
          <w:rFonts w:ascii="Times New Roman" w:eastAsia="Times New Roman"/>
        </w:rPr>
        <w:t>ETC </w:t>
      </w:r>
      <w:r>
        <w:rPr>
          <w:position w:val="1"/>
        </w:rPr>
        <w:t>车道减速带等非必要设施。加强对 </w:t>
      </w:r>
      <w:r>
        <w:rPr>
          <w:rFonts w:ascii="Times New Roman" w:eastAsia="Times New Roman"/>
        </w:rPr>
        <w:t>ETC </w:t>
      </w:r>
      <w:r>
        <w:rPr>
          <w:position w:val="1"/>
        </w:rPr>
        <w:t>门架和车道系统的运行状态监测和维护，保证</w:t>
      </w:r>
      <w:r>
        <w:rPr/>
        <w:t>系统运行指标满足相关要求。（各省级人民政府，交通运输部）</w:t>
      </w:r>
    </w:p>
    <w:p>
      <w:pPr>
        <w:pStyle w:val="BodyText"/>
        <w:spacing w:line="292" w:lineRule="auto"/>
        <w:jc w:val="left"/>
      </w:pPr>
      <w:r>
        <w:rPr>
          <w:rFonts w:ascii="方正楷体_GBK" w:eastAsia="方正楷体_GBK" w:hint="eastAsia"/>
        </w:rPr>
        <w:t>（四）提升网络安全防护能力。</w:t>
      </w:r>
      <w:r>
        <w:rPr/>
        <w:t>按照国家网络安全等级保护制度以及《联网收费系统省域系统并网接入网络安全基本技</w:t>
      </w:r>
    </w:p>
    <w:p>
      <w:pPr>
        <w:spacing w:after="0" w:line="292" w:lineRule="auto"/>
        <w:jc w:val="left"/>
        <w:sectPr>
          <w:pgSz w:w="11910" w:h="16840"/>
          <w:pgMar w:header="0" w:footer="1608" w:top="1460" w:bottom="1800" w:left="1680" w:right="1680"/>
        </w:sectPr>
      </w:pPr>
    </w:p>
    <w:p>
      <w:pPr>
        <w:pStyle w:val="BodyText"/>
        <w:spacing w:line="292" w:lineRule="auto" w:before="13"/>
        <w:ind w:firstLine="0"/>
      </w:pPr>
      <w:r>
        <w:rPr/>
        <w:t>术要求》等有关要求，定期开展测评评估，不断强化系统安全防护能力。制定完善网络安全事件应急预案，建立健全应急处置机制。将高速公路收费清分结算系统纳入国家信息安全专项</w:t>
      </w:r>
      <w:r>
        <w:rPr>
          <w:position w:val="1"/>
        </w:rPr>
        <w:t>计划。</w:t>
      </w:r>
      <w:r>
        <w:rPr>
          <w:rFonts w:asci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eastAsia="Times New Roman"/>
        </w:rPr>
        <w:t>10 </w:t>
      </w:r>
      <w:r>
        <w:rPr>
          <w:position w:val="1"/>
        </w:rPr>
        <w:t>月底前，完成 </w:t>
      </w:r>
      <w:r>
        <w:rPr>
          <w:rFonts w:ascii="Times New Roman" w:eastAsia="Times New Roman"/>
        </w:rPr>
        <w:t>ETC </w:t>
      </w:r>
      <w:r>
        <w:rPr>
          <w:position w:val="1"/>
        </w:rPr>
        <w:t>系统国产密码算法迁移工</w:t>
      </w:r>
      <w:r>
        <w:rPr/>
        <w:t>程。（交通运输部、公安部、发展改革委，各省级人民政府）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</w:rPr>
        <w:t>（五）提高高速公路进城路段通行效率。</w:t>
      </w:r>
      <w:r>
        <w:rPr/>
        <w:t>优化高速公路出口与城市道路交织路段布设，保证主线交通安全顺畅。对于布置在高速公路出入口附近并易造成交通拥堵的货运枢纽、物流园区或商贸市场，结合城市总体规划有序外迁。（各省级人民政府，交通运输部、发展改革委）</w:t>
      </w:r>
    </w:p>
    <w:p>
      <w:pPr>
        <w:pStyle w:val="BodyText"/>
        <w:spacing w:line="466" w:lineRule="exact"/>
        <w:ind w:left="720" w:right="0" w:firstLine="0"/>
        <w:jc w:val="lef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三、健全服务体系</w:t>
      </w:r>
    </w:p>
    <w:p>
      <w:pPr>
        <w:pStyle w:val="BodyText"/>
        <w:spacing w:line="292" w:lineRule="auto" w:before="112"/>
        <w:ind w:right="116"/>
      </w:pPr>
      <w:r>
        <w:rPr>
          <w:rFonts w:ascii="方正楷体_GBK" w:eastAsia="方正楷体_GBK" w:hint="eastAsia"/>
        </w:rPr>
        <w:t>（一）</w:t>
      </w:r>
      <w:r>
        <w:rPr>
          <w:rFonts w:ascii="方正楷体_GBK" w:eastAsia="方正楷体_GBK" w:hint="eastAsia"/>
          <w:spacing w:val="3"/>
        </w:rPr>
        <w:t>拓宽 </w:t>
      </w:r>
      <w:r>
        <w:rPr>
          <w:rFonts w:ascii="方正楷体_GBK" w:eastAsia="方正楷体_GBK" w:hint="eastAsia"/>
        </w:rPr>
        <w:t>ETC 发行服务渠道。</w:t>
      </w:r>
      <w:r>
        <w:rPr/>
        <w:t>推动建立全网协同服务模</w:t>
      </w:r>
      <w:r>
        <w:rPr>
          <w:spacing w:val="6"/>
        </w:rPr>
        <w:t>式，完善服务规则，鼓励银行业金融机构、非银行支付机构和</w:t>
      </w:r>
      <w:r>
        <w:rPr>
          <w:spacing w:val="-3"/>
          <w:position w:val="1"/>
        </w:rPr>
        <w:t>互联网企业等服务机构紧密合作。允许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position w:val="1"/>
        </w:rPr>
        <w:t>绑定既有银行账户</w:t>
      </w:r>
      <w:r>
        <w:rPr>
          <w:spacing w:val="6"/>
        </w:rPr>
        <w:t>和支付账户。支持商业银行推广发行加载交通行业应用的联名</w:t>
      </w:r>
      <w:r>
        <w:rPr>
          <w:spacing w:val="-4"/>
          <w:position w:val="1"/>
        </w:rPr>
        <w:t>卡，停止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1"/>
        </w:rPr>
        <w:t> </w:t>
      </w:r>
      <w:r>
        <w:rPr>
          <w:spacing w:val="4"/>
          <w:position w:val="1"/>
        </w:rPr>
        <w:t>储值卡发行、逐步减少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spacing w:val="12"/>
          <w:position w:val="1"/>
        </w:rPr>
        <w:t>储值卡使用。（</w:t>
      </w:r>
      <w:r>
        <w:rPr>
          <w:spacing w:val="-15"/>
          <w:position w:val="1"/>
        </w:rPr>
        <w:t>各</w:t>
      </w:r>
      <w:r>
        <w:rPr/>
        <w:t>省级人民政府，交通运输部、人民银行、银保监会）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</w:rPr>
        <w:t>（二）</w:t>
      </w:r>
      <w:r>
        <w:rPr>
          <w:rFonts w:ascii="方正楷体_GBK" w:eastAsia="方正楷体_GBK" w:hint="eastAsia"/>
          <w:spacing w:val="3"/>
        </w:rPr>
        <w:t>推动 </w:t>
      </w:r>
      <w:r>
        <w:rPr>
          <w:rFonts w:ascii="方正楷体_GBK" w:eastAsia="方正楷体_GBK" w:hint="eastAsia"/>
        </w:rPr>
        <w:t>ETC</w:t>
      </w:r>
      <w:r>
        <w:rPr>
          <w:rFonts w:ascii="方正楷体_GBK" w:eastAsia="方正楷体_GBK" w:hint="eastAsia"/>
          <w:spacing w:val="1"/>
        </w:rPr>
        <w:t> 便捷安装。</w:t>
      </w:r>
      <w:r>
        <w:rPr/>
        <w:t>结合商业银行网点以及汽车主</w:t>
      </w:r>
      <w:r>
        <w:rPr>
          <w:spacing w:val="2"/>
          <w:position w:val="1"/>
        </w:rPr>
        <w:t>机厂、</w:t>
      </w:r>
      <w:r>
        <w:rPr>
          <w:rFonts w:ascii="Times New Roman" w:eastAsia="Times New Roman"/>
        </w:rPr>
        <w:t>4S</w:t>
      </w:r>
      <w:r>
        <w:rPr>
          <w:rFonts w:ascii="Times New Roman" w:eastAsia="Times New Roman"/>
          <w:spacing w:val="8"/>
        </w:rPr>
        <w:t> </w:t>
      </w:r>
      <w:r>
        <w:rPr>
          <w:position w:val="1"/>
        </w:rPr>
        <w:t>店、高速公路服务区和收费站出入口广场等车辆集中</w:t>
      </w:r>
      <w:r>
        <w:rPr>
          <w:spacing w:val="-2"/>
          <w:position w:val="1"/>
        </w:rPr>
        <w:t>场所，增加安装网点，方便公众就近便捷安装，并实现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position w:val="1"/>
        </w:rPr>
        <w:t>业</w:t>
      </w:r>
      <w:r>
        <w:rPr>
          <w:spacing w:val="6"/>
        </w:rPr>
        <w:t>务办理一站式服务。组织发行单位，开展互联网发行、预约安</w:t>
      </w:r>
      <w:r>
        <w:rPr>
          <w:spacing w:val="-3"/>
          <w:position w:val="1"/>
        </w:rPr>
        <w:t>装、集中上门安装等服务，便利车辆安装 </w:t>
      </w:r>
      <w:r>
        <w:rPr>
          <w:rFonts w:ascii="Times New Roman" w:eastAsia="Times New Roman"/>
        </w:rPr>
        <w:t>ETC</w:t>
      </w:r>
      <w:r>
        <w:rPr>
          <w:rFonts w:ascii="Times New Roman" w:eastAsia="Times New Roman"/>
          <w:spacing w:val="14"/>
        </w:rPr>
        <w:t> </w:t>
      </w:r>
      <w:r>
        <w:rPr>
          <w:spacing w:val="1"/>
          <w:position w:val="1"/>
        </w:rPr>
        <w:t>车载装置。</w:t>
      </w:r>
      <w:r>
        <w:rPr>
          <w:position w:val="1"/>
        </w:rPr>
        <w:t>（各</w:t>
      </w:r>
      <w:r>
        <w:rPr/>
        <w:t>省级人民政府，交通运输部、人民银行、银保监会）</w:t>
      </w:r>
    </w:p>
    <w:p>
      <w:pPr>
        <w:spacing w:after="0" w:line="292" w:lineRule="auto"/>
        <w:sectPr>
          <w:pgSz w:w="11910" w:h="16840"/>
          <w:pgMar w:header="0" w:footer="1608" w:top="1460" w:bottom="1800" w:left="1680" w:right="1680"/>
        </w:sectPr>
      </w:pPr>
    </w:p>
    <w:p>
      <w:pPr>
        <w:pStyle w:val="BodyText"/>
        <w:spacing w:line="292" w:lineRule="auto" w:before="13"/>
      </w:pPr>
      <w:r>
        <w:rPr>
          <w:rFonts w:ascii="方正楷体_GBK" w:hAnsi="方正楷体_GBK" w:eastAsia="方正楷体_GBK" w:hint="eastAsia"/>
        </w:rPr>
        <w:t>（三）推广移动支付应用。</w:t>
      </w:r>
      <w:r>
        <w:rPr/>
        <w:t>鼓励通过市场化手段，扩大移</w:t>
      </w:r>
      <w:r>
        <w:rPr>
          <w:position w:val="1"/>
        </w:rPr>
        <w:t>动支付车道覆盖范围，</w:t>
      </w:r>
      <w:r>
        <w:rPr>
          <w:rFonts w:ascii="Times New Roman" w:hAns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hAnsi="Times New Roman" w:eastAsia="Times New Roman"/>
        </w:rPr>
        <w:t>12 </w:t>
      </w:r>
      <w:r>
        <w:rPr>
          <w:position w:val="1"/>
        </w:rPr>
        <w:t>月底前基本实现所有人工收费车道全覆盖。鼓励结合信用体系建设，推动</w:t>
      </w:r>
      <w:r>
        <w:rPr>
          <w:rFonts w:ascii="Times New Roman" w:hAnsi="Times New Roman" w:eastAsia="Times New Roman"/>
        </w:rPr>
        <w:t>“</w:t>
      </w:r>
      <w:r>
        <w:rPr>
          <w:position w:val="1"/>
        </w:rPr>
        <w:t>后台账户</w:t>
      </w:r>
      <w:r>
        <w:rPr>
          <w:rFonts w:ascii="Times New Roman" w:hAnsi="Times New Roman" w:eastAsia="Times New Roman"/>
        </w:rPr>
        <w:t>”</w:t>
      </w:r>
      <w:r>
        <w:rPr>
          <w:position w:val="1"/>
        </w:rPr>
        <w:t>应</w:t>
      </w:r>
      <w:r>
        <w:rPr/>
        <w:t>用，将移动支付纳入联网收费结算体系。（各省级人民政府， 交通运输部、人民银行）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</w:rPr>
        <w:t>（四）加大 ETC 使用优惠力度。</w:t>
      </w:r>
      <w:r>
        <w:rPr/>
        <w:t>实现车载装置免费安装全</w:t>
      </w:r>
      <w:r>
        <w:rPr>
          <w:position w:val="1"/>
        </w:rPr>
        <w:t>覆盖， 非人为损坏的，由发行方免费更换。</w:t>
      </w:r>
      <w:r>
        <w:rPr>
          <w:rFonts w:asci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eastAsia="Times New Roman"/>
        </w:rPr>
        <w:t>12 </w:t>
      </w:r>
      <w:r>
        <w:rPr>
          <w:position w:val="1"/>
        </w:rPr>
        <w:t>月底</w:t>
      </w:r>
      <w:r>
        <w:rPr/>
        <w:t>前，发行方完成与新修订的《收费公路车辆通行费车型分类》</w:t>
      </w:r>
      <w:r>
        <w:rPr>
          <w:position w:val="1"/>
        </w:rPr>
        <w:t>不符的 </w:t>
      </w:r>
      <w:r>
        <w:rPr>
          <w:rFonts w:ascii="Times New Roman" w:eastAsia="Times New Roman"/>
        </w:rPr>
        <w:t>ETC </w:t>
      </w:r>
      <w:r>
        <w:rPr>
          <w:position w:val="1"/>
        </w:rPr>
        <w:t>车载装置换发工作。鼓励社会资本参与发行，通过</w:t>
      </w:r>
      <w:r>
        <w:rPr/>
        <w:t>积分、打折、返利、红包等形式优惠用户通行。（交通运输部，各省级人民政府）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  <w:position w:val="1"/>
        </w:rPr>
        <w:t>（五）完善基本优惠政策。</w:t>
      </w:r>
      <w:r>
        <w:rPr>
          <w:position w:val="1"/>
        </w:rPr>
        <w:t>给予 </w:t>
      </w:r>
      <w:r>
        <w:rPr>
          <w:rFonts w:ascii="Times New Roman" w:eastAsia="Times New Roman"/>
        </w:rPr>
        <w:t>ETC </w:t>
      </w:r>
      <w:r>
        <w:rPr>
          <w:position w:val="1"/>
        </w:rPr>
        <w:t>车辆不少于 </w:t>
      </w:r>
      <w:r>
        <w:rPr>
          <w:rFonts w:ascii="Times New Roman" w:eastAsia="Times New Roman"/>
        </w:rPr>
        <w:t>5%</w:t>
      </w:r>
      <w:r>
        <w:rPr>
          <w:position w:val="1"/>
        </w:rPr>
        <w:t>的通行费优惠，对通行本区域的 </w:t>
      </w:r>
      <w:r>
        <w:rPr>
          <w:rFonts w:ascii="Times New Roman" w:eastAsia="Times New Roman"/>
        </w:rPr>
        <w:t>ETC </w:t>
      </w:r>
      <w:r>
        <w:rPr>
          <w:position w:val="1"/>
        </w:rPr>
        <w:t>车辆实行无差别基本优惠政策。自 </w:t>
      </w:r>
      <w:r>
        <w:rPr>
          <w:rFonts w:ascii="Times New Roman" w:eastAsia="Times New Roman"/>
        </w:rPr>
        <w:t>2020 </w:t>
      </w:r>
      <w:r>
        <w:rPr>
          <w:position w:val="1"/>
        </w:rPr>
        <w:t>年 </w:t>
      </w:r>
      <w:r>
        <w:rPr>
          <w:rFonts w:ascii="Times New Roman" w:eastAsia="Times New Roman"/>
        </w:rPr>
        <w:t>1 </w:t>
      </w:r>
      <w:r>
        <w:rPr>
          <w:position w:val="1"/>
        </w:rPr>
        <w:t>月 </w:t>
      </w:r>
      <w:r>
        <w:rPr>
          <w:rFonts w:ascii="Times New Roman" w:eastAsia="Times New Roman"/>
        </w:rPr>
        <w:t>1 </w:t>
      </w:r>
      <w:r>
        <w:rPr>
          <w:position w:val="1"/>
        </w:rPr>
        <w:t>日起，除国务院另有规定外，各类通行费减免等优惠政策均依托 </w:t>
      </w:r>
      <w:r>
        <w:rPr>
          <w:rFonts w:ascii="Times New Roman" w:eastAsia="Times New Roman"/>
        </w:rPr>
        <w:t>ETC </w:t>
      </w:r>
      <w:r>
        <w:rPr>
          <w:position w:val="1"/>
        </w:rPr>
        <w:t>系统实现。（交通运输部，各省级</w:t>
      </w:r>
      <w:r>
        <w:rPr/>
        <w:t>人民政府）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  <w:position w:val="1"/>
        </w:rPr>
        <w:t>（六）拓展服务场景。</w:t>
      </w:r>
      <w:r>
        <w:rPr>
          <w:position w:val="1"/>
        </w:rPr>
        <w:t>鼓励 </w:t>
      </w:r>
      <w:r>
        <w:rPr>
          <w:rFonts w:ascii="Times New Roman" w:eastAsia="Times New Roman"/>
        </w:rPr>
        <w:t>ETC </w:t>
      </w:r>
      <w:r>
        <w:rPr>
          <w:position w:val="1"/>
        </w:rPr>
        <w:t>在停车场等涉车领域应用，</w:t>
      </w:r>
      <w:r>
        <w:rPr>
          <w:rFonts w:ascii="Times New Roman" w:eastAsia="Times New Roman"/>
        </w:rPr>
        <w:t>2020 </w:t>
      </w:r>
      <w:r>
        <w:rPr>
          <w:position w:val="1"/>
        </w:rPr>
        <w:t>年 </w:t>
      </w:r>
      <w:r>
        <w:rPr>
          <w:rFonts w:ascii="Times New Roman" w:eastAsia="Times New Roman"/>
        </w:rPr>
        <w:t>12 </w:t>
      </w:r>
      <w:r>
        <w:rPr>
          <w:position w:val="1"/>
        </w:rPr>
        <w:t>月底前，基本实现机场、火车站、客运站、港口码头等大型交通场站停车场景 </w:t>
      </w:r>
      <w:r>
        <w:rPr>
          <w:rFonts w:ascii="Times New Roman" w:eastAsia="Times New Roman"/>
        </w:rPr>
        <w:t>ETC </w:t>
      </w:r>
      <w:r>
        <w:rPr>
          <w:position w:val="1"/>
        </w:rPr>
        <w:t>服务全覆盖。推广 </w:t>
      </w:r>
      <w:r>
        <w:rPr>
          <w:rFonts w:ascii="Times New Roman" w:eastAsia="Times New Roman"/>
        </w:rPr>
        <w:t>ETC </w:t>
      </w:r>
      <w:r>
        <w:rPr/>
        <w:t>在居民小区、旅游景区等停车场景的应用。（省级人民政府， 交通运输部）</w:t>
      </w:r>
    </w:p>
    <w:p>
      <w:pPr>
        <w:pStyle w:val="BodyText"/>
        <w:spacing w:line="292" w:lineRule="auto"/>
        <w:jc w:val="left"/>
      </w:pPr>
      <w:r>
        <w:rPr>
          <w:rFonts w:ascii="方正楷体_GBK" w:eastAsia="方正楷体_GBK" w:hint="eastAsia"/>
        </w:rPr>
        <w:t>（七）规范发行管理。</w:t>
      </w:r>
      <w:r>
        <w:rPr/>
        <w:t>修订《公路电子不停车收费联网运营和服务规范》，规范发行服务流程，完善内部发行监督检查</w:t>
      </w:r>
    </w:p>
    <w:p>
      <w:pPr>
        <w:spacing w:after="0" w:line="292" w:lineRule="auto"/>
        <w:jc w:val="left"/>
        <w:sectPr>
          <w:pgSz w:w="11910" w:h="16840"/>
          <w:pgMar w:header="0" w:footer="1608" w:top="1460" w:bottom="1800" w:left="1680" w:right="1680"/>
        </w:sectPr>
      </w:pPr>
    </w:p>
    <w:p>
      <w:pPr>
        <w:pStyle w:val="BodyText"/>
        <w:spacing w:line="292" w:lineRule="auto" w:before="13"/>
        <w:ind w:firstLine="0"/>
      </w:pPr>
      <w:r>
        <w:rPr/>
        <w:t>和责任追究机制。加强发行监管，促进市场公平有序竞争。鼓励有服务能力的发行方按照统一规则开展异地发行。合作发行的，应通过协议明确合作发行机构的责任和义务，严格遵守相关标准规范及合作协议。（各省级人民政府，交通运输部、人民银行、银保监会）</w:t>
      </w:r>
    </w:p>
    <w:p>
      <w:pPr>
        <w:pStyle w:val="BodyText"/>
        <w:spacing w:line="466" w:lineRule="exact"/>
        <w:ind w:left="720" w:right="0" w:firstLine="0"/>
        <w:jc w:val="lef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四、完善系统配套</w:t>
      </w:r>
    </w:p>
    <w:p>
      <w:pPr>
        <w:pStyle w:val="BodyText"/>
        <w:spacing w:line="292" w:lineRule="auto" w:before="117"/>
      </w:pPr>
      <w:r>
        <w:rPr>
          <w:rFonts w:ascii="方正楷体_GBK" w:eastAsia="方正楷体_GBK" w:hint="eastAsia"/>
          <w:spacing w:val="9"/>
        </w:rPr>
        <w:t>（</w:t>
      </w:r>
      <w:r>
        <w:rPr>
          <w:rFonts w:ascii="方正楷体_GBK" w:eastAsia="方正楷体_GBK" w:hint="eastAsia"/>
          <w:spacing w:val="7"/>
        </w:rPr>
        <w:t>一</w:t>
      </w:r>
      <w:r>
        <w:rPr>
          <w:rFonts w:ascii="方正楷体_GBK" w:eastAsia="方正楷体_GBK" w:hint="eastAsia"/>
          <w:spacing w:val="9"/>
        </w:rPr>
        <w:t>）</w:t>
      </w:r>
      <w:r>
        <w:rPr>
          <w:rFonts w:ascii="方正楷体_GBK" w:eastAsia="方正楷体_GBK" w:hint="eastAsia"/>
          <w:spacing w:val="7"/>
        </w:rPr>
        <w:t>加快推进车载装置产品创新和汽车前装。</w:t>
      </w:r>
      <w:r>
        <w:rPr>
          <w:spacing w:val="6"/>
        </w:rPr>
        <w:t>鼓励车载装置产品形态及服务功能多样化发展，研发与行车记录仪、智能后视镜等车载电子产品结合的多功能一体化终端，满足不同用户应用和消费需求。支持开展车载装置汽车前装，鼓励汽车</w:t>
      </w:r>
      <w:r>
        <w:rPr>
          <w:spacing w:val="-8"/>
          <w:position w:val="1"/>
        </w:rPr>
        <w:t>生产企业与 </w:t>
      </w:r>
      <w:r>
        <w:rPr>
          <w:rFonts w:ascii="Times New Roman" w:eastAsia="Times New Roman"/>
        </w:rPr>
        <w:t>ETC </w:t>
      </w:r>
      <w:r>
        <w:rPr>
          <w:position w:val="1"/>
        </w:rPr>
        <w:t>设备制造商、发行方开展合作，加强车载装置</w:t>
      </w:r>
      <w:r>
        <w:rPr>
          <w:spacing w:val="10"/>
          <w:position w:val="1"/>
        </w:rPr>
        <w:t>汽车前装技术研究、试点和推广应用。</w:t>
      </w:r>
      <w:r>
        <w:rPr>
          <w:rFonts w:ascii="Times New Roman" w:eastAsia="Times New Roman"/>
        </w:rPr>
        <w:t>2019 </w:t>
      </w:r>
      <w:r>
        <w:rPr>
          <w:spacing w:val="-24"/>
          <w:position w:val="1"/>
        </w:rPr>
        <w:t>年 </w:t>
      </w:r>
      <w:r>
        <w:rPr>
          <w:rFonts w:ascii="Times New Roman" w:eastAsia="Times New Roman"/>
        </w:rPr>
        <w:t>12 </w:t>
      </w:r>
      <w:r>
        <w:rPr>
          <w:spacing w:val="5"/>
          <w:position w:val="1"/>
        </w:rPr>
        <w:t>月底前完成</w:t>
      </w:r>
      <w:r>
        <w:rPr>
          <w:rFonts w:ascii="Times New Roman" w:eastAsia="Times New Roman"/>
        </w:rPr>
        <w:t>ETC </w:t>
      </w:r>
      <w:r>
        <w:rPr>
          <w:spacing w:val="-4"/>
          <w:position w:val="1"/>
        </w:rPr>
        <w:t>车载装置技术标准制定工作。自 </w:t>
      </w:r>
      <w:r>
        <w:rPr>
          <w:rFonts w:ascii="Times New Roman" w:eastAsia="Times New Roman"/>
        </w:rPr>
        <w:t>2020 </w:t>
      </w:r>
      <w:r>
        <w:rPr>
          <w:spacing w:val="-30"/>
          <w:position w:val="1"/>
        </w:rPr>
        <w:t>年 </w:t>
      </w:r>
      <w:r>
        <w:rPr>
          <w:rFonts w:ascii="Times New Roman" w:eastAsia="Times New Roman"/>
        </w:rPr>
        <w:t>7 </w:t>
      </w:r>
      <w:r>
        <w:rPr>
          <w:spacing w:val="-30"/>
          <w:position w:val="1"/>
        </w:rPr>
        <w:t>月 </w:t>
      </w:r>
      <w:r>
        <w:rPr>
          <w:rFonts w:ascii="Times New Roman" w:eastAsia="Times New Roman"/>
        </w:rPr>
        <w:t>1 </w:t>
      </w:r>
      <w:r>
        <w:rPr>
          <w:position w:val="1"/>
        </w:rPr>
        <w:t>日起，新申</w:t>
      </w:r>
      <w:r>
        <w:rPr>
          <w:spacing w:val="-3"/>
          <w:position w:val="1"/>
        </w:rPr>
        <w:t>请批准的车型应在选装配置中增加 </w:t>
      </w:r>
      <w:r>
        <w:rPr>
          <w:rFonts w:ascii="Times New Roman" w:eastAsia="Times New Roman"/>
        </w:rPr>
        <w:t>ETC </w:t>
      </w:r>
      <w:r>
        <w:rPr>
          <w:position w:val="1"/>
        </w:rPr>
        <w:t>车载装置，供用户自主</w:t>
      </w:r>
      <w:r>
        <w:rPr>
          <w:spacing w:val="7"/>
        </w:rPr>
        <w:t>选装。（</w:t>
      </w:r>
      <w:r>
        <w:rPr>
          <w:spacing w:val="6"/>
        </w:rPr>
        <w:t>工业和信息化部、交通运输部、市场监管总局，各省级人民政府）</w:t>
      </w:r>
    </w:p>
    <w:p>
      <w:pPr>
        <w:pStyle w:val="BodyText"/>
        <w:spacing w:line="292" w:lineRule="auto"/>
      </w:pPr>
      <w:r>
        <w:rPr>
          <w:rFonts w:ascii="方正楷体_GBK" w:eastAsia="方正楷体_GBK" w:hint="eastAsia"/>
          <w:position w:val="1"/>
        </w:rPr>
        <w:t>（二）加快公务、特种车辆车载装置安装。</w:t>
      </w:r>
      <w:r>
        <w:rPr>
          <w:rFonts w:asci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eastAsia="Times New Roman"/>
        </w:rPr>
        <w:t>7 </w:t>
      </w:r>
      <w:r>
        <w:rPr>
          <w:position w:val="1"/>
        </w:rPr>
        <w:t>月底</w:t>
      </w:r>
      <w:r>
        <w:rPr/>
        <w:t>前，完成机关事业单位公务用车、国有企业车辆，以及救护车、消防车、警车、工程抢险车辆、城市管理执法执勤用车等</w:t>
      </w:r>
      <w:r>
        <w:rPr>
          <w:position w:val="1"/>
        </w:rPr>
        <w:t>特种车辆安装使用 </w:t>
      </w:r>
      <w:r>
        <w:rPr>
          <w:rFonts w:ascii="Times New Roman" w:eastAsia="Times New Roman"/>
        </w:rPr>
        <w:t>ETC</w:t>
      </w:r>
      <w:r>
        <w:rPr>
          <w:position w:val="1"/>
        </w:rPr>
        <w:t>。自 </w:t>
      </w:r>
      <w:r>
        <w:rPr>
          <w:rFonts w:asci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eastAsia="Times New Roman"/>
        </w:rPr>
        <w:t>8 </w:t>
      </w:r>
      <w:r>
        <w:rPr>
          <w:position w:val="1"/>
        </w:rPr>
        <w:t>月 </w:t>
      </w:r>
      <w:r>
        <w:rPr>
          <w:rFonts w:ascii="Times New Roman" w:eastAsia="Times New Roman"/>
        </w:rPr>
        <w:t>1 </w:t>
      </w:r>
      <w:r>
        <w:rPr>
          <w:position w:val="1"/>
        </w:rPr>
        <w:t>日起，行政事业单</w:t>
      </w:r>
      <w:r>
        <w:rPr/>
        <w:t>位、国有企业等对所属车辆实行高速公路通行费电子发票报销。（交通运输部、住房城乡建设部、财政部、税务总局，各省级人民政府）</w:t>
      </w:r>
    </w:p>
    <w:p>
      <w:pPr>
        <w:spacing w:after="0" w:line="292" w:lineRule="auto"/>
        <w:sectPr>
          <w:pgSz w:w="11910" w:h="16840"/>
          <w:pgMar w:header="0" w:footer="1608" w:top="1460" w:bottom="1800" w:left="1680" w:right="1680"/>
        </w:sectPr>
      </w:pPr>
    </w:p>
    <w:p>
      <w:pPr>
        <w:pStyle w:val="BodyText"/>
        <w:spacing w:line="292" w:lineRule="auto" w:before="15"/>
        <w:ind w:right="116"/>
      </w:pPr>
      <w:r>
        <w:rPr>
          <w:rFonts w:ascii="方正楷体_GBK" w:eastAsia="方正楷体_GBK" w:hint="eastAsia"/>
          <w:position w:val="1"/>
        </w:rPr>
        <w:t>（三）推动营运车辆车载装置安装。</w:t>
      </w:r>
      <w:r>
        <w:rPr>
          <w:rFonts w:asci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eastAsia="Times New Roman"/>
        </w:rPr>
        <w:t>12 </w:t>
      </w:r>
      <w:r>
        <w:rPr>
          <w:position w:val="1"/>
        </w:rPr>
        <w:t>月底前， </w:t>
      </w:r>
      <w:r>
        <w:rPr/>
        <w:t>完成客运车辆、租赁汽车、公路货运车辆等营运车辆安装使用</w:t>
      </w:r>
      <w:r>
        <w:rPr>
          <w:rFonts w:ascii="Times New Roman" w:eastAsia="Times New Roman"/>
        </w:rPr>
        <w:t>ETC</w:t>
      </w:r>
      <w:r>
        <w:rPr>
          <w:position w:val="1"/>
        </w:rPr>
        <w:t>。修改完善出租车计价器相关标准，准许 </w:t>
      </w:r>
      <w:r>
        <w:rPr>
          <w:rFonts w:ascii="Times New Roman" w:eastAsia="Times New Roman"/>
        </w:rPr>
        <w:t>ETC </w:t>
      </w:r>
      <w:r>
        <w:rPr>
          <w:position w:val="1"/>
        </w:rPr>
        <w:t>设备与出租车计价器之间通信，不断提高乘客获取 </w:t>
      </w:r>
      <w:r>
        <w:rPr>
          <w:rFonts w:ascii="Times New Roman" w:eastAsia="Times New Roman"/>
        </w:rPr>
        <w:t>ETC </w:t>
      </w:r>
      <w:r>
        <w:rPr>
          <w:position w:val="1"/>
        </w:rPr>
        <w:t>通行费发票、出租</w:t>
      </w:r>
      <w:r>
        <w:rPr/>
        <w:t>车费发票的便利性。（交通运输部、财政部、税务总局，各省级人民政府）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</w:rPr>
        <w:t>（四）加强车载装置质量监督。</w:t>
      </w:r>
      <w:r>
        <w:rPr/>
        <w:t>兼顾各种产品形态和多种</w:t>
      </w:r>
      <w:r>
        <w:rPr>
          <w:position w:val="1"/>
        </w:rPr>
        <w:t>销售渠道，进一步完善检测标准和质量监督体系，加强 </w:t>
      </w:r>
      <w:r>
        <w:rPr>
          <w:rFonts w:ascii="Times New Roman" w:eastAsia="Times New Roman"/>
        </w:rPr>
        <w:t>ETC </w:t>
      </w:r>
      <w:r>
        <w:rPr>
          <w:position w:val="1"/>
        </w:rPr>
        <w:t>产品和关键设备的质量监督，鼓励开展 </w:t>
      </w:r>
      <w:r>
        <w:rPr>
          <w:rFonts w:ascii="Times New Roman" w:eastAsia="Times New Roman"/>
        </w:rPr>
        <w:t>ETC </w:t>
      </w:r>
      <w:r>
        <w:rPr>
          <w:position w:val="1"/>
        </w:rPr>
        <w:t>设备自愿性产品认证。继续加大 </w:t>
      </w:r>
      <w:r>
        <w:rPr>
          <w:rFonts w:ascii="Times New Roman" w:eastAsia="Times New Roman"/>
        </w:rPr>
        <w:t>ETC </w:t>
      </w:r>
      <w:r>
        <w:rPr>
          <w:position w:val="1"/>
        </w:rPr>
        <w:t>产品质量行业抽查力度，完善抽查指标，有</w:t>
      </w:r>
      <w:r>
        <w:rPr/>
        <w:t>关结果及时向社会公众和相关单位通报。（市场监管总局、交通运输部，各省级人民政府）</w:t>
      </w:r>
    </w:p>
    <w:p>
      <w:pPr>
        <w:pStyle w:val="BodyText"/>
        <w:spacing w:line="292" w:lineRule="auto"/>
        <w:ind w:right="113"/>
      </w:pPr>
      <w:r>
        <w:rPr>
          <w:rFonts w:ascii="方正楷体_GBK" w:hAnsi="方正楷体_GBK" w:eastAsia="方正楷体_GBK" w:hint="eastAsia"/>
          <w:position w:val="1"/>
        </w:rPr>
        <w:t>（五）开展 ETC 无卡化应用研究。</w:t>
      </w:r>
      <w:r>
        <w:rPr>
          <w:position w:val="1"/>
        </w:rPr>
        <w:t>开展 </w:t>
      </w:r>
      <w:r>
        <w:rPr>
          <w:rFonts w:ascii="Times New Roman" w:hAnsi="Times New Roman" w:eastAsia="Times New Roman"/>
        </w:rPr>
        <w:t>ETC </w:t>
      </w:r>
      <w:r>
        <w:rPr>
          <w:position w:val="1"/>
        </w:rPr>
        <w:t>无卡化应用研究，推广单片式车载装置，推动从离线</w:t>
      </w:r>
      <w:r>
        <w:rPr>
          <w:rFonts w:ascii="Times New Roman" w:hAnsi="Times New Roman" w:eastAsia="Times New Roman"/>
        </w:rPr>
        <w:t>“</w:t>
      </w:r>
      <w:r>
        <w:rPr>
          <w:position w:val="1"/>
        </w:rPr>
        <w:t>电子钱包</w:t>
      </w:r>
      <w:r>
        <w:rPr>
          <w:rFonts w:ascii="Times New Roman" w:hAnsi="Times New Roman" w:eastAsia="Times New Roman"/>
        </w:rPr>
        <w:t>”</w:t>
      </w:r>
      <w:r>
        <w:rPr>
          <w:position w:val="1"/>
        </w:rPr>
        <w:t>向</w:t>
      </w:r>
      <w:r>
        <w:rPr>
          <w:rFonts w:ascii="Times New Roman" w:hAnsi="Times New Roman" w:eastAsia="Times New Roman"/>
        </w:rPr>
        <w:t>“</w:t>
      </w:r>
      <w:r>
        <w:rPr>
          <w:position w:val="1"/>
        </w:rPr>
        <w:t>后台账户</w:t>
      </w:r>
      <w:r>
        <w:rPr>
          <w:rFonts w:ascii="Times New Roman" w:hAnsi="Times New Roman" w:eastAsia="Times New Roman"/>
        </w:rPr>
        <w:t>”</w:t>
      </w:r>
      <w:r>
        <w:rPr>
          <w:position w:val="1"/>
        </w:rPr>
        <w:t>应用发展，实现车道前端识别、账户后端扣费，简化车道系</w:t>
      </w:r>
      <w:r>
        <w:rPr/>
        <w:t>统处理流程，提高运行效率。（交通运输部、人民银行，各省级人民政府）</w:t>
      </w:r>
    </w:p>
    <w:p>
      <w:pPr>
        <w:pStyle w:val="BodyText"/>
        <w:spacing w:line="464" w:lineRule="exact"/>
        <w:ind w:left="720" w:right="0" w:firstLine="0"/>
        <w:jc w:val="lef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五、创新体制机制</w:t>
      </w:r>
    </w:p>
    <w:p>
      <w:pPr>
        <w:pStyle w:val="BodyText"/>
        <w:spacing w:line="292" w:lineRule="auto" w:before="105"/>
      </w:pPr>
      <w:r>
        <w:rPr>
          <w:rFonts w:ascii="方正楷体_GBK" w:hAnsi="方正楷体_GBK" w:eastAsia="方正楷体_GBK" w:hint="eastAsia"/>
        </w:rPr>
        <w:t>（一）完善联网收费管理体系。</w:t>
      </w:r>
      <w:r>
        <w:rPr/>
        <w:t>建立健全交通运输部门与</w:t>
      </w:r>
      <w:r>
        <w:rPr>
          <w:position w:val="1"/>
        </w:rPr>
        <w:t>公安部门间有关交通管理信息共享机制，从源头杜绝</w:t>
      </w:r>
      <w:r>
        <w:rPr>
          <w:rFonts w:ascii="Times New Roman" w:hAnsi="Times New Roman" w:eastAsia="Times New Roman"/>
        </w:rPr>
        <w:t>“</w:t>
      </w:r>
      <w:r>
        <w:rPr>
          <w:position w:val="1"/>
        </w:rPr>
        <w:t>大车小标、大车小签</w:t>
      </w:r>
      <w:r>
        <w:rPr>
          <w:rFonts w:ascii="Times New Roman" w:hAnsi="Times New Roman" w:eastAsia="Times New Roman"/>
        </w:rPr>
        <w:t>”</w:t>
      </w:r>
      <w:r>
        <w:rPr>
          <w:position w:val="1"/>
        </w:rPr>
        <w:t>等行为。依托北斗卫星定位、视频识别、大数据</w:t>
      </w:r>
      <w:r>
        <w:rPr/>
        <w:t>分析等技术手段，开展联网收费稽查体系建设，加强对恶意偷逃通行费的车辆监管与稽查。（交通运输部、公安部、人民银</w:t>
      </w:r>
    </w:p>
    <w:p>
      <w:pPr>
        <w:spacing w:after="0" w:line="292" w:lineRule="auto"/>
        <w:sectPr>
          <w:pgSz w:w="11910" w:h="16840"/>
          <w:pgMar w:header="0" w:footer="1608" w:top="1460" w:bottom="1800" w:left="1680" w:right="1680"/>
        </w:sectPr>
      </w:pPr>
    </w:p>
    <w:p>
      <w:pPr>
        <w:pStyle w:val="BodyText"/>
        <w:spacing w:before="13"/>
        <w:ind w:right="0" w:firstLine="0"/>
        <w:jc w:val="left"/>
      </w:pPr>
      <w:r>
        <w:rPr/>
        <w:t>行）</w:t>
      </w:r>
    </w:p>
    <w:p>
      <w:pPr>
        <w:pStyle w:val="BodyText"/>
        <w:spacing w:line="292" w:lineRule="auto" w:before="107"/>
      </w:pPr>
      <w:r>
        <w:rPr>
          <w:rFonts w:ascii="方正楷体_GBK" w:hAnsi="方正楷体_GBK" w:eastAsia="方正楷体_GBK" w:hint="eastAsia"/>
          <w:position w:val="1"/>
        </w:rPr>
        <w:t>（二）构建高速公路信用体系。</w:t>
      </w:r>
      <w:r>
        <w:rPr>
          <w:rFonts w:ascii="Times New Roman" w:hAnsi="Times New Roman" w:eastAsia="Times New Roman"/>
        </w:rPr>
        <w:t>2019 </w:t>
      </w:r>
      <w:r>
        <w:rPr>
          <w:position w:val="1"/>
        </w:rPr>
        <w:t>年 </w:t>
      </w:r>
      <w:r>
        <w:rPr>
          <w:rFonts w:ascii="Times New Roman" w:hAnsi="Times New Roman" w:eastAsia="Times New Roman"/>
        </w:rPr>
        <w:t>12 </w:t>
      </w:r>
      <w:r>
        <w:rPr>
          <w:position w:val="1"/>
        </w:rPr>
        <w:t>月底前，制定</w:t>
      </w:r>
      <w:r>
        <w:rPr/>
        <w:t>信用评价机制和评价标准，建立以信用承诺、信用公示为特点的新型监管机制，通过全国信用信息共享平台，利用收费公路联网收费、绿色通道、交通执法等基础数据，加快建立车辆信用记录，集成车辆登记信息、交通管理信息、通行交费信息等</w:t>
      </w:r>
      <w:r>
        <w:rPr>
          <w:position w:val="1"/>
        </w:rPr>
        <w:t>信息，并通过</w:t>
      </w:r>
      <w:r>
        <w:rPr>
          <w:rFonts w:ascii="Times New Roman" w:hAnsi="Times New Roman" w:eastAsia="Times New Roman"/>
        </w:rPr>
        <w:t>“</w:t>
      </w:r>
      <w:r>
        <w:rPr>
          <w:position w:val="1"/>
        </w:rPr>
        <w:t>信用中国</w:t>
      </w:r>
      <w:r>
        <w:rPr>
          <w:rFonts w:ascii="Times New Roman" w:hAnsi="Times New Roman" w:eastAsia="Times New Roman"/>
        </w:rPr>
        <w:t>”</w:t>
      </w:r>
      <w:r>
        <w:rPr>
          <w:position w:val="1"/>
        </w:rPr>
        <w:t>网站公示。对恶意闯关、倒卡、逃费</w:t>
      </w:r>
      <w:r>
        <w:rPr/>
        <w:t>等严重失信行为实施联合惩戒。（交通运输部、发展改革委、公安部、人民银行、银保监会）</w:t>
      </w:r>
    </w:p>
    <w:p>
      <w:pPr>
        <w:pStyle w:val="BodyText"/>
        <w:spacing w:line="292" w:lineRule="auto"/>
        <w:ind w:right="116"/>
      </w:pPr>
      <w:r>
        <w:rPr>
          <w:rFonts w:ascii="方正楷体_GBK" w:eastAsia="方正楷体_GBK" w:hint="eastAsia"/>
          <w:position w:val="1"/>
        </w:rPr>
        <w:t>（三）建立市场化服务体系。</w:t>
      </w:r>
      <w:r>
        <w:rPr>
          <w:position w:val="1"/>
        </w:rPr>
        <w:t>推进 </w:t>
      </w:r>
      <w:r>
        <w:rPr>
          <w:rFonts w:ascii="Times New Roman" w:eastAsia="Times New Roman"/>
        </w:rPr>
        <w:t>ETC </w:t>
      </w:r>
      <w:r>
        <w:rPr>
          <w:position w:val="1"/>
        </w:rPr>
        <w:t>发行方从政府部门</w:t>
      </w:r>
      <w:r>
        <w:rPr/>
        <w:t>或事业单位剥离，实现独立企业化运行。逐步实现政府通过公</w:t>
      </w:r>
      <w:r>
        <w:rPr>
          <w:position w:val="1"/>
        </w:rPr>
        <w:t>平竞争确定服务主体。鼓励 </w:t>
      </w:r>
      <w:r>
        <w:rPr>
          <w:rFonts w:ascii="Times New Roman" w:eastAsia="Times New Roman"/>
        </w:rPr>
        <w:t>ETC </w:t>
      </w:r>
      <w:r>
        <w:rPr>
          <w:position w:val="1"/>
        </w:rPr>
        <w:t>发行方及合作机构采用市场化手段开展商业优惠活动，促进 </w:t>
      </w:r>
      <w:r>
        <w:rPr>
          <w:rFonts w:ascii="Times New Roman" w:eastAsia="Times New Roman"/>
        </w:rPr>
        <w:t>ETC </w:t>
      </w:r>
      <w:r>
        <w:rPr>
          <w:position w:val="1"/>
        </w:rPr>
        <w:t>应用推广。（各省级人民政</w:t>
      </w:r>
      <w:r>
        <w:rPr/>
        <w:t>府，交通运输部、人民银行）</w:t>
      </w:r>
    </w:p>
    <w:p>
      <w:pPr>
        <w:pStyle w:val="BodyText"/>
        <w:spacing w:line="292" w:lineRule="auto"/>
      </w:pPr>
      <w:r>
        <w:rPr>
          <w:rFonts w:ascii="方正楷体_GBK" w:eastAsia="方正楷体_GBK" w:hint="eastAsia"/>
        </w:rPr>
        <w:t>（四）完善清分结算机制。</w:t>
      </w:r>
      <w:r>
        <w:rPr/>
        <w:t>依据国家相关法律法规，建立健全清分结算工作制度，兼顾各方利益诉求，维护用户和收费公路经营管理者合法权益。推动清分结算机制逐步向市场化运作机制过渡，车载装置发行方、道路运营方、清分结算方等各主体之间，通过运营协议约定权利义务和清分结算服务费标准。（交通运输部、发展改革委、财政部、人民银行，各省级人民政府）</w:t>
      </w:r>
    </w:p>
    <w:p>
      <w:pPr>
        <w:pStyle w:val="BodyText"/>
        <w:spacing w:line="290" w:lineRule="auto"/>
      </w:pPr>
      <w:r>
        <w:rPr>
          <w:rFonts w:ascii="方正楷体_GBK" w:eastAsia="方正楷体_GBK" w:hint="eastAsia"/>
          <w:position w:val="1"/>
        </w:rPr>
        <w:t>（五）拓宽投融资渠道。</w:t>
      </w:r>
      <w:r>
        <w:rPr>
          <w:position w:val="1"/>
        </w:rPr>
        <w:t>强化资金支持，各地 </w:t>
      </w:r>
      <w:r>
        <w:rPr>
          <w:rFonts w:ascii="Times New Roman" w:eastAsia="Times New Roman"/>
        </w:rPr>
        <w:t>ETC </w:t>
      </w:r>
      <w:r>
        <w:rPr>
          <w:position w:val="1"/>
        </w:rPr>
        <w:t>车载装</w:t>
      </w:r>
      <w:r>
        <w:rPr/>
        <w:t>置安装、系统和设施建设改造资金由省级人民政府统筹负责，</w:t>
      </w:r>
    </w:p>
    <w:p>
      <w:pPr>
        <w:spacing w:after="0" w:line="290" w:lineRule="auto"/>
        <w:sectPr>
          <w:pgSz w:w="11910" w:h="16840"/>
          <w:pgMar w:header="0" w:footer="1608" w:top="1460" w:bottom="1800" w:left="1680" w:right="1680"/>
        </w:sectPr>
      </w:pPr>
    </w:p>
    <w:p>
      <w:pPr>
        <w:pStyle w:val="BodyText"/>
        <w:spacing w:line="292" w:lineRule="auto" w:before="13"/>
        <w:ind w:firstLine="0"/>
      </w:pPr>
      <w:r>
        <w:rPr/>
        <w:t>采用通行费收入列支、财政补助等方式解决，鼓励各地通过市场机制筹集资金。健全完善资金监管机制，保障市场机制下资金流转的规范性和合理性。（各省级人民政府，交通运输部、发展改革委、人民银行）</w:t>
      </w:r>
    </w:p>
    <w:p>
      <w:pPr>
        <w:pStyle w:val="BodyText"/>
        <w:spacing w:line="467" w:lineRule="exact"/>
        <w:ind w:left="720" w:right="0" w:firstLine="0"/>
        <w:jc w:val="left"/>
        <w:rPr>
          <w:rFonts w:ascii="方正黑体_GBK" w:eastAsia="方正黑体_GBK" w:hint="eastAsia"/>
        </w:rPr>
      </w:pPr>
      <w:r>
        <w:rPr>
          <w:rFonts w:ascii="方正黑体_GBK" w:eastAsia="方正黑体_GBK" w:hint="eastAsia"/>
        </w:rPr>
        <w:t>六、加强组织保障</w:t>
      </w:r>
    </w:p>
    <w:p>
      <w:pPr>
        <w:pStyle w:val="BodyText"/>
        <w:spacing w:line="292" w:lineRule="auto" w:before="117"/>
      </w:pPr>
      <w:r>
        <w:rPr>
          <w:rFonts w:ascii="方正楷体_GBK" w:eastAsia="方正楷体_GBK" w:hint="eastAsia"/>
        </w:rPr>
        <w:t>（一）细化工作方案。</w:t>
      </w:r>
      <w:r>
        <w:rPr/>
        <w:t>各地区、各有关部门要充分认识推动高速公路电子不停车收费的重要意义，强化组织领导，细化工作方案，明确时间表、路线图。加强工作指导和监督检查， 确保各项工作落实到位。（各省级人民政府，相关部门）</w:t>
      </w:r>
    </w:p>
    <w:p>
      <w:pPr>
        <w:pStyle w:val="BodyText"/>
        <w:spacing w:line="292" w:lineRule="auto"/>
      </w:pPr>
      <w:r>
        <w:rPr>
          <w:rFonts w:ascii="方正楷体_GBK" w:eastAsia="方正楷体_GBK" w:hint="eastAsia"/>
        </w:rPr>
        <w:t>（二）加强技术创新。</w:t>
      </w:r>
      <w:r>
        <w:rPr/>
        <w:t>充分发挥我国自主北斗导航技术在高速公路收费站快速通行、智能驾驶等方面的技术优势，依托基于北斗卫星定位、现代通信技术的前沿收费技术和车路协同技术等开发成果，加快推进成果转化，鼓励地方先行先试，促进系统优化升级，推动管理服务创新发展。（交通运输部，各省级人民政府）</w:t>
      </w:r>
    </w:p>
    <w:p>
      <w:pPr>
        <w:pStyle w:val="BodyText"/>
        <w:spacing w:line="292" w:lineRule="auto"/>
        <w:jc w:val="left"/>
      </w:pPr>
      <w:r>
        <w:rPr>
          <w:rFonts w:ascii="方正楷体_GBK" w:eastAsia="方正楷体_GBK" w:hint="eastAsia"/>
        </w:rPr>
        <w:t>（三）加强分析通报。</w:t>
      </w:r>
      <w:r>
        <w:rPr/>
        <w:t>建立全国高速公路电子不停车快捷收费应用服务质量评价指标体系，定期组织分析评价，对各省</w:t>
      </w:r>
    </w:p>
    <w:p>
      <w:pPr>
        <w:pStyle w:val="BodyText"/>
        <w:spacing w:line="290" w:lineRule="auto"/>
        <w:ind w:right="116" w:firstLine="0"/>
        <w:jc w:val="left"/>
      </w:pPr>
      <w:r>
        <w:rPr>
          <w:position w:val="1"/>
        </w:rPr>
        <w:t>（区、市）不停车快捷收费率、</w:t>
      </w:r>
      <w:r>
        <w:rPr>
          <w:rFonts w:ascii="Times New Roman" w:eastAsia="Times New Roman"/>
        </w:rPr>
        <w:t>ETC </w:t>
      </w:r>
      <w:r>
        <w:rPr>
          <w:position w:val="1"/>
        </w:rPr>
        <w:t>安装率、</w:t>
      </w:r>
      <w:r>
        <w:rPr>
          <w:rFonts w:ascii="Times New Roman" w:eastAsia="Times New Roman"/>
        </w:rPr>
        <w:t>ETC </w:t>
      </w:r>
      <w:r>
        <w:rPr>
          <w:position w:val="1"/>
        </w:rPr>
        <w:t>车道占比、</w:t>
      </w:r>
      <w:r>
        <w:rPr/>
        <w:t>用户满意度调查结果等主要指标进行通报。（交通运输部）</w:t>
      </w:r>
    </w:p>
    <w:p>
      <w:pPr>
        <w:pStyle w:val="BodyText"/>
        <w:spacing w:line="292" w:lineRule="auto"/>
      </w:pPr>
      <w:r>
        <w:rPr>
          <w:rFonts w:ascii="方正楷体_GBK" w:hAnsi="方正楷体_GBK" w:eastAsia="方正楷体_GBK" w:hint="eastAsia"/>
          <w:position w:val="1"/>
        </w:rPr>
        <w:t>（四）做好人员安置。</w:t>
      </w:r>
      <w:r>
        <w:rPr>
          <w:position w:val="1"/>
        </w:rPr>
        <w:t>各级地方政府要按照</w:t>
      </w:r>
      <w:r>
        <w:rPr>
          <w:rFonts w:ascii="Times New Roman" w:hAnsi="Times New Roman" w:eastAsia="Times New Roman"/>
        </w:rPr>
        <w:t>“</w:t>
      </w:r>
      <w:r>
        <w:rPr>
          <w:position w:val="1"/>
        </w:rPr>
        <w:t>谁主管、谁负责</w:t>
      </w:r>
      <w:r>
        <w:rPr>
          <w:rFonts w:ascii="Times New Roman" w:hAnsi="Times New Roman" w:eastAsia="Times New Roman"/>
        </w:rPr>
        <w:t>”</w:t>
      </w:r>
      <w:r>
        <w:rPr>
          <w:position w:val="1"/>
        </w:rPr>
        <w:t>的原则，严格落实相关法律法规规定，妥善做好高速公路收</w:t>
      </w:r>
      <w:r>
        <w:rPr/>
        <w:t>费站工作人员转岗安置工作，保障收费人员合法权益，确保社会稳定。（各省级人民政府，交通运输部）</w:t>
      </w:r>
    </w:p>
    <w:p>
      <w:pPr>
        <w:spacing w:after="0" w:line="292" w:lineRule="auto"/>
        <w:sectPr>
          <w:pgSz w:w="11910" w:h="16840"/>
          <w:pgMar w:header="0" w:footer="1608" w:top="1460" w:bottom="1800" w:left="1680" w:right="1680"/>
        </w:sectPr>
      </w:pPr>
    </w:p>
    <w:p>
      <w:pPr>
        <w:pStyle w:val="BodyText"/>
        <w:spacing w:line="292" w:lineRule="auto" w:before="13"/>
        <w:ind w:right="116"/>
      </w:pPr>
      <w:r>
        <w:rPr>
          <w:rFonts w:ascii="方正楷体_GBK" w:eastAsia="方正楷体_GBK" w:hint="eastAsia"/>
        </w:rPr>
        <w:t>（五）加强宣传引导。</w:t>
      </w:r>
      <w:r>
        <w:rPr/>
        <w:t>高速公路不停车收费工作涉及面</w:t>
      </w:r>
      <w:r>
        <w:rPr>
          <w:position w:val="1"/>
        </w:rPr>
        <w:t>广、影响大，要加强舆论引导，充分宣传 </w:t>
      </w:r>
      <w:r>
        <w:rPr>
          <w:rFonts w:ascii="Times New Roman" w:eastAsia="Times New Roman"/>
        </w:rPr>
        <w:t>ETC </w:t>
      </w:r>
      <w:r>
        <w:rPr>
          <w:position w:val="1"/>
        </w:rPr>
        <w:t>在便捷交通、节能减排、提高公路通行效率等方面的重要意义，树立 </w:t>
      </w:r>
      <w:r>
        <w:rPr>
          <w:rFonts w:ascii="Times New Roman" w:eastAsia="Times New Roman"/>
        </w:rPr>
        <w:t>ETC </w:t>
      </w:r>
      <w:r>
        <w:rPr>
          <w:position w:val="1"/>
        </w:rPr>
        <w:t>服务</w:t>
      </w:r>
      <w:r>
        <w:rPr/>
        <w:t>品牌，扩大社会影响力，及时回应公众关切，切实提高人民群众的获得感、幸福感，为高速公路持续健康发展营造良好氛围。（交通运输部，各省级人民政府）</w:t>
      </w:r>
    </w:p>
    <w:sectPr>
      <w:footerReference w:type="default" r:id="rId6"/>
      <w:pgSz w:w="11910" w:h="16840"/>
      <w:pgMar w:footer="1608" w:header="0" w:top="1460" w:bottom="1800" w:left="1680" w:right="1680"/>
      <w:pgNumType w:start="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_GBK">
    <w:altName w:val="方正小标宋_GBK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方正仿宋_GBK">
    <w:altName w:val="方正仿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楷体_GBK">
    <w:altName w:val="方正楷体_GBK"/>
    <w:charset w:val="86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640015pt;margin-top:750.569885pt;width:50.75pt;height:17.6pt;mso-position-horizontal-relative:page;mso-position-vertical-relative:page;z-index:-251772928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63"/>
                    <w:sz w:val="28"/>
                  </w:rPr>
                  <w:t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 w:firstLine="0"/>
      <w:jc w:val="left"/>
      <w:rPr>
        <w:sz w:val="20"/>
      </w:rPr>
    </w:pPr>
    <w:r>
      <w:rPr/>
      <w:pict>
        <v:shape style="position:absolute;margin-left:268.640015pt;margin-top:750.569885pt;width:58.05pt;height:17.6pt;mso-position-horizontal-relative:page;mso-position-vertical-relative:page;z-index:-251771904" type="#_x0000_t202" filled="false" stroked="false">
          <v:textbox inset="0,0,0,0">
            <w:txbxContent>
              <w:p>
                <w:pPr>
                  <w:spacing w:line="351" w:lineRule="exact" w:before="0"/>
                  <w:ind w:left="20" w:right="0" w:firstLine="0"/>
                  <w:jc w:val="left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65"/>
                    <w:sz w:val="28"/>
                  </w:rPr>
                  <w:t> 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仿宋_GBK" w:hAnsi="方正仿宋_GBK" w:eastAsia="方正仿宋_GBK" w:cs="方正仿宋_GBK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120" w:right="118" w:firstLine="600"/>
      <w:jc w:val="both"/>
    </w:pPr>
    <w:rPr>
      <w:rFonts w:ascii="方正仿宋_GBK" w:hAnsi="方正仿宋_GBK" w:eastAsia="方正仿宋_GBK" w:cs="方正仿宋_GBK"/>
      <w:sz w:val="30"/>
      <w:szCs w:val="3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2019-11-15T01:19:40Z</dcterms:created>
  <dcterms:modified xsi:type="dcterms:W3CDTF">2019-11-15T01:19:40Z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2019-11-15T00:00:00Z</vt:filetime>
  </property>
</Properties>
</file>